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8AD6" w14:textId="52161E59" w:rsidR="008D4BBA" w:rsidRDefault="00A1036B" w:rsidP="00A1036B">
      <w:pPr>
        <w:jc w:val="center"/>
      </w:pPr>
      <w:r w:rsidRPr="00693CD9">
        <w:rPr>
          <w:noProof/>
        </w:rPr>
        <w:drawing>
          <wp:inline distT="0" distB="0" distL="0" distR="0" wp14:anchorId="58C3B3B2" wp14:editId="6FE5148B">
            <wp:extent cx="3770616" cy="1074423"/>
            <wp:effectExtent l="0" t="0" r="1905" b="0"/>
            <wp:docPr id="2" name="Picture 2" descr="A picture containing sitt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sitting,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117" cy="10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720D0" w14:textId="77777777" w:rsidR="00A1036B" w:rsidRDefault="00A1036B" w:rsidP="00A1036B">
      <w:pPr>
        <w:jc w:val="center"/>
      </w:pPr>
    </w:p>
    <w:p w14:paraId="74ADB646" w14:textId="77777777" w:rsidR="00A1036B" w:rsidRPr="00A1036B" w:rsidRDefault="00A1036B" w:rsidP="00A1036B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473687DA" w14:textId="40D1A7F4" w:rsidR="00A1036B" w:rsidRPr="00A1036B" w:rsidRDefault="00A1036B" w:rsidP="00A1036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1036B">
        <w:rPr>
          <w:rFonts w:ascii="Arial" w:eastAsia="Calibri" w:hAnsi="Arial" w:cs="Arial"/>
          <w:b/>
          <w:bCs/>
          <w:sz w:val="32"/>
          <w:szCs w:val="32"/>
        </w:rPr>
        <w:t>Medical Policy and Prior Authorization Notice</w:t>
      </w:r>
    </w:p>
    <w:p w14:paraId="694AC67E" w14:textId="77777777" w:rsidR="00A1036B" w:rsidRDefault="00A1036B" w:rsidP="00A1036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68CE71D" w14:textId="072638CD" w:rsidR="00A1036B" w:rsidRDefault="00A1036B" w:rsidP="00A1036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1036B">
        <w:rPr>
          <w:rFonts w:ascii="Arial" w:eastAsia="Calibri" w:hAnsi="Arial" w:cs="Arial"/>
          <w:b/>
          <w:bCs/>
          <w:sz w:val="28"/>
          <w:szCs w:val="28"/>
        </w:rPr>
        <w:t>Asparaginase Erwinia (recombinant)-</w:t>
      </w:r>
      <w:proofErr w:type="spellStart"/>
      <w:r w:rsidRPr="00A1036B">
        <w:rPr>
          <w:rFonts w:ascii="Arial" w:eastAsia="Calibri" w:hAnsi="Arial" w:cs="Arial"/>
          <w:b/>
          <w:bCs/>
          <w:sz w:val="28"/>
          <w:szCs w:val="28"/>
        </w:rPr>
        <w:t>rywn</w:t>
      </w:r>
      <w:proofErr w:type="spellEnd"/>
      <w:r w:rsidRPr="00A1036B">
        <w:rPr>
          <w:rFonts w:ascii="Arial" w:eastAsia="Calibri" w:hAnsi="Arial" w:cs="Arial"/>
          <w:b/>
          <w:bCs/>
          <w:sz w:val="28"/>
          <w:szCs w:val="28"/>
        </w:rPr>
        <w:t xml:space="preserve"> (</w:t>
      </w:r>
      <w:proofErr w:type="spellStart"/>
      <w:r w:rsidRPr="00A1036B">
        <w:rPr>
          <w:rFonts w:ascii="Arial" w:eastAsia="Calibri" w:hAnsi="Arial" w:cs="Arial"/>
          <w:b/>
          <w:bCs/>
          <w:sz w:val="28"/>
          <w:szCs w:val="28"/>
        </w:rPr>
        <w:t>Rylaze</w:t>
      </w:r>
      <w:proofErr w:type="spellEnd"/>
      <w:r w:rsidRPr="00A1036B">
        <w:rPr>
          <w:rFonts w:ascii="Arial" w:eastAsia="Calibri" w:hAnsi="Arial" w:cs="Arial"/>
          <w:b/>
          <w:bCs/>
          <w:sz w:val="28"/>
          <w:szCs w:val="28"/>
        </w:rPr>
        <w:t xml:space="preserve">®) </w:t>
      </w:r>
    </w:p>
    <w:p w14:paraId="1CF669BC" w14:textId="148F418A" w:rsidR="00AF2AA1" w:rsidRPr="00F975CF" w:rsidRDefault="00A1036B" w:rsidP="008E14BA">
      <w:pPr>
        <w:jc w:val="center"/>
        <w:rPr>
          <w:rFonts w:ascii="Arial" w:eastAsia="Calibri" w:hAnsi="Arial" w:cs="Arial"/>
          <w:sz w:val="24"/>
          <w:szCs w:val="24"/>
        </w:rPr>
      </w:pPr>
      <w:r w:rsidRPr="008E14BA">
        <w:rPr>
          <w:rFonts w:ascii="Arial" w:eastAsia="Calibri" w:hAnsi="Arial" w:cs="Arial"/>
          <w:sz w:val="24"/>
          <w:szCs w:val="24"/>
        </w:rPr>
        <w:t>Publication</w:t>
      </w:r>
      <w:r w:rsidR="008E14BA" w:rsidRPr="008E14BA">
        <w:rPr>
          <w:rFonts w:ascii="Arial" w:eastAsia="Calibri" w:hAnsi="Arial" w:cs="Arial"/>
          <w:sz w:val="24"/>
          <w:szCs w:val="24"/>
        </w:rPr>
        <w:t>- 9/6/24</w:t>
      </w:r>
      <w:r w:rsidR="00AF2AA1">
        <w:rPr>
          <w:rFonts w:ascii="Arial" w:eastAsia="Calibri" w:hAnsi="Arial" w:cs="Arial"/>
          <w:sz w:val="24"/>
          <w:szCs w:val="24"/>
        </w:rPr>
        <w:t xml:space="preserve"> </w:t>
      </w:r>
    </w:p>
    <w:p w14:paraId="4C2E2ACA" w14:textId="77777777" w:rsidR="00AF2AA1" w:rsidRPr="00F975CF" w:rsidRDefault="00AF2AA1" w:rsidP="00A1036B">
      <w:pPr>
        <w:jc w:val="center"/>
        <w:rPr>
          <w:rFonts w:ascii="Arial" w:eastAsia="Calibri" w:hAnsi="Arial" w:cs="Arial"/>
          <w:sz w:val="24"/>
          <w:szCs w:val="24"/>
        </w:rPr>
      </w:pPr>
    </w:p>
    <w:p w14:paraId="1AD47919" w14:textId="64367531" w:rsidR="00A1036B" w:rsidRDefault="00A1036B"/>
    <w:p w14:paraId="183AD316" w14:textId="77777777" w:rsidR="00A1036B" w:rsidRDefault="00A1036B"/>
    <w:p w14:paraId="5FE8D9ED" w14:textId="77777777" w:rsidR="00A1036B" w:rsidRDefault="00A1036B" w:rsidP="00A1036B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Purpose"/>
      <w:bookmarkEnd w:id="0"/>
      <w:r w:rsidRPr="00264A03">
        <w:rPr>
          <w:rFonts w:ascii="Arial" w:hAnsi="Arial" w:cs="Arial"/>
          <w:b/>
          <w:sz w:val="24"/>
          <w:szCs w:val="24"/>
          <w:u w:val="single"/>
        </w:rPr>
        <w:t>PURPOSE:</w:t>
      </w:r>
    </w:p>
    <w:p w14:paraId="02FD48AC" w14:textId="77777777" w:rsidR="00A1036B" w:rsidRPr="00264A03" w:rsidRDefault="00A1036B" w:rsidP="00A1036B">
      <w:pPr>
        <w:rPr>
          <w:rFonts w:ascii="Arial" w:hAnsi="Arial" w:cs="Arial"/>
          <w:b/>
          <w:sz w:val="24"/>
          <w:szCs w:val="24"/>
          <w:u w:val="single"/>
        </w:rPr>
      </w:pPr>
    </w:p>
    <w:p w14:paraId="49D98D5B" w14:textId="77777777" w:rsidR="00A1036B" w:rsidRPr="00030526" w:rsidRDefault="00A1036B" w:rsidP="00A1036B">
      <w:pPr>
        <w:widowControl/>
        <w:autoSpaceDE/>
        <w:autoSpaceDN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 xml:space="preserve">The goal of this policy is to establish standards and recommendations for the proper use of Erwinia asparaginase in the Parkland Community Health Plan </w:t>
      </w:r>
      <w:r>
        <w:rPr>
          <w:rFonts w:ascii="Arial" w:hAnsi="Arial" w:cs="Arial"/>
          <w:sz w:val="24"/>
          <w:szCs w:val="24"/>
        </w:rPr>
        <w:t>for</w:t>
      </w:r>
      <w:r w:rsidRPr="00030526">
        <w:rPr>
          <w:rFonts w:ascii="Arial" w:hAnsi="Arial" w:cs="Arial"/>
          <w:sz w:val="24"/>
          <w:szCs w:val="24"/>
        </w:rPr>
        <w:t xml:space="preserve"> the best possible member care, safety, and resource management. </w:t>
      </w:r>
    </w:p>
    <w:p w14:paraId="3A10AF9B" w14:textId="77777777" w:rsidR="00A1036B" w:rsidRPr="00030526" w:rsidRDefault="00A1036B" w:rsidP="00A1036B">
      <w:pPr>
        <w:widowControl/>
        <w:autoSpaceDE/>
        <w:autoSpaceDN/>
        <w:rPr>
          <w:sz w:val="24"/>
          <w:szCs w:val="24"/>
        </w:rPr>
      </w:pPr>
    </w:p>
    <w:p w14:paraId="2D2DAC18" w14:textId="77777777" w:rsidR="00A1036B" w:rsidRDefault="00A1036B" w:rsidP="00A1036B">
      <w:pPr>
        <w:tabs>
          <w:tab w:val="left" w:pos="8196"/>
        </w:tabs>
        <w:autoSpaceDE/>
        <w:autoSpaceDN/>
        <w:rPr>
          <w:rFonts w:ascii="Arial" w:eastAsia="Calibri" w:hAnsi="Arial" w:cs="Arial"/>
          <w:sz w:val="24"/>
          <w:szCs w:val="24"/>
          <w:u w:val="single"/>
        </w:rPr>
      </w:pPr>
      <w:r w:rsidRPr="00264A03">
        <w:rPr>
          <w:rFonts w:ascii="Arial" w:eastAsia="Calibri" w:hAnsi="Arial" w:cs="Arial"/>
          <w:b/>
          <w:sz w:val="24"/>
          <w:szCs w:val="24"/>
          <w:u w:val="single"/>
        </w:rPr>
        <w:t>SCOPE:</w:t>
      </w:r>
    </w:p>
    <w:p w14:paraId="4C2FE5F1" w14:textId="77777777" w:rsidR="00A1036B" w:rsidRPr="00264A03" w:rsidRDefault="00A1036B" w:rsidP="00A1036B">
      <w:pPr>
        <w:tabs>
          <w:tab w:val="left" w:pos="8196"/>
        </w:tabs>
        <w:autoSpaceDE/>
        <w:autoSpaceDN/>
        <w:rPr>
          <w:rFonts w:ascii="Arial" w:eastAsia="Calibri" w:hAnsi="Arial" w:cs="Arial"/>
          <w:sz w:val="24"/>
          <w:szCs w:val="24"/>
          <w:u w:val="single"/>
        </w:rPr>
      </w:pPr>
    </w:p>
    <w:p w14:paraId="6495247E" w14:textId="77777777" w:rsidR="00A1036B" w:rsidRPr="00292811" w:rsidRDefault="00A1036B" w:rsidP="00A1036B">
      <w:pPr>
        <w:tabs>
          <w:tab w:val="left" w:pos="1421"/>
        </w:tabs>
        <w:rPr>
          <w:rFonts w:ascii="Arial" w:hAnsi="Arial" w:cs="Arial"/>
          <w:sz w:val="24"/>
          <w:szCs w:val="24"/>
        </w:rPr>
      </w:pPr>
      <w:bookmarkStart w:id="1" w:name="Policy_Statement"/>
      <w:bookmarkStart w:id="2" w:name="Scope"/>
      <w:bookmarkEnd w:id="1"/>
      <w:bookmarkEnd w:id="2"/>
      <w:r w:rsidRPr="00876DAB">
        <w:rPr>
          <w:rFonts w:ascii="Arial" w:hAnsi="Arial" w:cs="Arial"/>
          <w:sz w:val="24"/>
          <w:szCs w:val="24"/>
        </w:rPr>
        <w:t xml:space="preserve">All Parkland Community Health Plan members of STAR, </w:t>
      </w:r>
      <w:r>
        <w:rPr>
          <w:rFonts w:ascii="Arial" w:hAnsi="Arial" w:cs="Arial"/>
          <w:sz w:val="24"/>
          <w:szCs w:val="24"/>
        </w:rPr>
        <w:t>and CHIP.</w:t>
      </w:r>
    </w:p>
    <w:p w14:paraId="48A5DCBA" w14:textId="77777777" w:rsidR="00A1036B" w:rsidRPr="00292811" w:rsidRDefault="00A1036B" w:rsidP="00A1036B">
      <w:pPr>
        <w:tabs>
          <w:tab w:val="left" w:pos="1421"/>
        </w:tabs>
        <w:rPr>
          <w:rFonts w:ascii="Arial" w:hAnsi="Arial" w:cs="Arial"/>
          <w:sz w:val="24"/>
          <w:szCs w:val="24"/>
        </w:rPr>
      </w:pPr>
    </w:p>
    <w:p w14:paraId="284E3273" w14:textId="77777777" w:rsidR="00A1036B" w:rsidRDefault="00A1036B" w:rsidP="00A1036B">
      <w:pPr>
        <w:tabs>
          <w:tab w:val="left" w:pos="142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292811">
        <w:rPr>
          <w:rFonts w:ascii="Arial" w:hAnsi="Arial" w:cs="Arial"/>
          <w:b/>
          <w:bCs/>
          <w:sz w:val="24"/>
          <w:szCs w:val="24"/>
          <w:u w:val="single"/>
        </w:rPr>
        <w:t>POLICY:</w:t>
      </w:r>
      <w:bookmarkStart w:id="3" w:name="B._Pre-Contracting/Pre-Delegation_Audits"/>
      <w:bookmarkEnd w:id="3"/>
    </w:p>
    <w:p w14:paraId="5AF231FA" w14:textId="77777777" w:rsidR="00A1036B" w:rsidRPr="00030526" w:rsidRDefault="00A1036B" w:rsidP="00A1036B">
      <w:pPr>
        <w:tabs>
          <w:tab w:val="left" w:pos="1421"/>
        </w:tabs>
        <w:rPr>
          <w:rFonts w:ascii="Arial" w:hAnsi="Arial" w:cs="Arial"/>
          <w:i/>
          <w:iCs/>
          <w:sz w:val="24"/>
          <w:szCs w:val="24"/>
        </w:rPr>
      </w:pPr>
    </w:p>
    <w:p w14:paraId="1874399C" w14:textId="77777777" w:rsidR="00A1036B" w:rsidRPr="00030526" w:rsidRDefault="00A1036B" w:rsidP="00A1036B">
      <w:pPr>
        <w:widowControl/>
        <w:numPr>
          <w:ilvl w:val="0"/>
          <w:numId w:val="1"/>
        </w:numPr>
        <w:autoSpaceDE/>
        <w:autoSpaceDN/>
        <w:spacing w:after="200"/>
        <w:rPr>
          <w:rFonts w:ascii="Arial" w:eastAsia="Calibri" w:hAnsi="Arial" w:cs="Arial"/>
          <w:b/>
          <w:bCs/>
          <w:sz w:val="24"/>
          <w:szCs w:val="24"/>
        </w:rPr>
      </w:pPr>
      <w:r w:rsidRPr="00030526">
        <w:rPr>
          <w:rFonts w:ascii="Arial" w:eastAsia="Calibri" w:hAnsi="Arial" w:cs="Arial"/>
          <w:b/>
          <w:bCs/>
          <w:sz w:val="24"/>
          <w:szCs w:val="24"/>
        </w:rPr>
        <w:t>Descriptions</w:t>
      </w:r>
    </w:p>
    <w:p w14:paraId="3DD2DDD4" w14:textId="77777777" w:rsidR="00A1036B" w:rsidRPr="00030526" w:rsidRDefault="00A1036B" w:rsidP="00A1036B">
      <w:pPr>
        <w:widowControl/>
        <w:autoSpaceDE/>
        <w:autoSpaceDN/>
        <w:spacing w:after="200"/>
        <w:ind w:left="720"/>
        <w:rPr>
          <w:rFonts w:ascii="Arial" w:eastAsia="Calibri" w:hAnsi="Arial" w:cs="Arial"/>
          <w:sz w:val="24"/>
          <w:szCs w:val="24"/>
        </w:rPr>
      </w:pPr>
      <w:r w:rsidRPr="00030526">
        <w:rPr>
          <w:rFonts w:ascii="Arial" w:eastAsia="Calibri" w:hAnsi="Arial" w:cs="Arial"/>
          <w:sz w:val="24"/>
          <w:szCs w:val="24"/>
        </w:rPr>
        <w:t>Asparaginase Erwinia (recombinant)-</w:t>
      </w:r>
      <w:proofErr w:type="spellStart"/>
      <w:r w:rsidRPr="00030526">
        <w:rPr>
          <w:rFonts w:ascii="Arial" w:eastAsia="Calibri" w:hAnsi="Arial" w:cs="Arial"/>
          <w:sz w:val="24"/>
          <w:szCs w:val="24"/>
        </w:rPr>
        <w:t>rywn</w:t>
      </w:r>
      <w:proofErr w:type="spellEnd"/>
      <w:r w:rsidRPr="00030526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030526">
        <w:rPr>
          <w:rFonts w:ascii="Arial" w:eastAsia="Calibri" w:hAnsi="Arial" w:cs="Arial"/>
          <w:sz w:val="24"/>
          <w:szCs w:val="24"/>
        </w:rPr>
        <w:t>Rylaze</w:t>
      </w:r>
      <w:proofErr w:type="spellEnd"/>
      <w:r w:rsidRPr="00030526">
        <w:rPr>
          <w:rFonts w:ascii="Arial" w:eastAsia="Calibri" w:hAnsi="Arial" w:cs="Arial"/>
          <w:sz w:val="24"/>
          <w:szCs w:val="24"/>
        </w:rPr>
        <w:t xml:space="preserve">®) is specific to asparagine specific </w:t>
      </w:r>
      <w:proofErr w:type="gramStart"/>
      <w:r w:rsidRPr="00030526">
        <w:rPr>
          <w:rFonts w:ascii="Arial" w:eastAsia="Calibri" w:hAnsi="Arial" w:cs="Arial"/>
          <w:sz w:val="24"/>
          <w:szCs w:val="24"/>
        </w:rPr>
        <w:t>enzymes</w:t>
      </w:r>
      <w:proofErr w:type="gramEnd"/>
    </w:p>
    <w:p w14:paraId="5D94E4C8" w14:textId="320DF959" w:rsidR="00A1036B" w:rsidRPr="00030526" w:rsidRDefault="00AF2AA1" w:rsidP="00A1036B">
      <w:pPr>
        <w:widowControl/>
        <w:numPr>
          <w:ilvl w:val="0"/>
          <w:numId w:val="1"/>
        </w:numPr>
        <w:autoSpaceDE/>
        <w:autoSpaceDN/>
        <w:spacing w:after="20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Initial Approval </w:t>
      </w:r>
      <w:r w:rsidR="00A1036B" w:rsidRPr="00030526">
        <w:rPr>
          <w:rFonts w:ascii="Arial" w:eastAsia="Calibri" w:hAnsi="Arial" w:cs="Arial"/>
          <w:b/>
          <w:bCs/>
          <w:sz w:val="24"/>
          <w:szCs w:val="24"/>
        </w:rPr>
        <w:t>Indication(s)</w:t>
      </w:r>
    </w:p>
    <w:p w14:paraId="3419B389" w14:textId="77777777" w:rsidR="00A1036B" w:rsidRPr="00030526" w:rsidRDefault="00A1036B" w:rsidP="00A1036B">
      <w:pPr>
        <w:pStyle w:val="ListParagraph"/>
        <w:widowControl/>
        <w:autoSpaceDE/>
        <w:autoSpaceDN/>
        <w:ind w:left="360" w:firstLine="0"/>
        <w:rPr>
          <w:rFonts w:ascii="Arial" w:hAnsi="Arial" w:cs="Arial"/>
          <w:sz w:val="24"/>
          <w:szCs w:val="24"/>
        </w:rPr>
      </w:pPr>
      <w:r w:rsidRPr="00030526">
        <w:rPr>
          <w:rFonts w:ascii="Arial" w:eastAsia="Calibri" w:hAnsi="Arial" w:cs="Arial"/>
          <w:sz w:val="24"/>
          <w:szCs w:val="24"/>
        </w:rPr>
        <w:t>Asparaginase Erwinia (recombinant)-</w:t>
      </w:r>
      <w:proofErr w:type="spellStart"/>
      <w:r w:rsidRPr="00030526">
        <w:rPr>
          <w:rFonts w:ascii="Arial" w:eastAsia="Calibri" w:hAnsi="Arial" w:cs="Arial"/>
          <w:sz w:val="24"/>
          <w:szCs w:val="24"/>
        </w:rPr>
        <w:t>rywn</w:t>
      </w:r>
      <w:proofErr w:type="spellEnd"/>
      <w:r w:rsidRPr="00030526">
        <w:rPr>
          <w:rFonts w:ascii="Arial" w:hAnsi="Arial" w:cs="Arial"/>
          <w:sz w:val="24"/>
          <w:szCs w:val="24"/>
        </w:rPr>
        <w:t xml:space="preserve"> is recommended for the treatment of patients with acute lymphoblastic leukemia (ALL) and lymphoblastic lymphoma (LBL) in adults and pediatric patients 1 month or older who have developed hypersensitivity to </w:t>
      </w:r>
      <w:proofErr w:type="gramStart"/>
      <w:r w:rsidRPr="00030526">
        <w:rPr>
          <w:rFonts w:ascii="Arial" w:hAnsi="Arial" w:cs="Arial"/>
          <w:i/>
          <w:iCs/>
          <w:sz w:val="24"/>
          <w:szCs w:val="24"/>
        </w:rPr>
        <w:t>E.coli</w:t>
      </w:r>
      <w:proofErr w:type="gramEnd"/>
      <w:r w:rsidRPr="00030526">
        <w:rPr>
          <w:rFonts w:ascii="Arial" w:hAnsi="Arial" w:cs="Arial"/>
          <w:sz w:val="24"/>
          <w:szCs w:val="24"/>
        </w:rPr>
        <w:t xml:space="preserve">-derived asparaginase. </w:t>
      </w:r>
    </w:p>
    <w:p w14:paraId="5909514E" w14:textId="77777777" w:rsidR="00A1036B" w:rsidRPr="00030526" w:rsidRDefault="00A1036B" w:rsidP="00A1036B">
      <w:pPr>
        <w:pStyle w:val="ListParagraph"/>
        <w:widowControl/>
        <w:autoSpaceDE/>
        <w:autoSpaceDN/>
        <w:ind w:left="360" w:firstLine="0"/>
        <w:rPr>
          <w:rFonts w:ascii="Arial" w:hAnsi="Arial" w:cs="Arial"/>
          <w:sz w:val="24"/>
          <w:szCs w:val="24"/>
        </w:rPr>
      </w:pPr>
    </w:p>
    <w:p w14:paraId="55810290" w14:textId="77777777" w:rsidR="00A1036B" w:rsidRDefault="00A1036B" w:rsidP="00A1036B">
      <w:pPr>
        <w:pStyle w:val="ListParagraph"/>
        <w:widowControl/>
        <w:autoSpaceDE/>
        <w:autoSpaceDN/>
        <w:ind w:left="360" w:firstLine="0"/>
        <w:rPr>
          <w:sz w:val="24"/>
          <w:szCs w:val="24"/>
        </w:rPr>
      </w:pPr>
    </w:p>
    <w:p w14:paraId="514C375C" w14:textId="77777777" w:rsidR="00A1036B" w:rsidRPr="008D5236" w:rsidRDefault="00A1036B" w:rsidP="00A1036B">
      <w:pPr>
        <w:pStyle w:val="ListParagraph"/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890B9D">
        <w:rPr>
          <w:b/>
          <w:bCs/>
          <w:sz w:val="24"/>
          <w:szCs w:val="24"/>
        </w:rPr>
        <w:t>Initial Approval Criteria</w:t>
      </w:r>
      <w:r>
        <w:rPr>
          <w:b/>
          <w:bCs/>
          <w:sz w:val="24"/>
          <w:szCs w:val="24"/>
        </w:rPr>
        <w:t xml:space="preserve">: </w:t>
      </w:r>
      <w:proofErr w:type="spellStart"/>
      <w:r w:rsidRPr="008D5236">
        <w:rPr>
          <w:rFonts w:ascii="Arial" w:hAnsi="Arial" w:cs="Arial"/>
          <w:sz w:val="24"/>
          <w:szCs w:val="24"/>
        </w:rPr>
        <w:t>Rylaze</w:t>
      </w:r>
      <w:proofErr w:type="spellEnd"/>
      <w:r w:rsidRPr="008D5236">
        <w:rPr>
          <w:rFonts w:ascii="Arial" w:hAnsi="Arial" w:cs="Arial"/>
          <w:sz w:val="24"/>
          <w:szCs w:val="24"/>
        </w:rPr>
        <w:t xml:space="preserve"> will be considered as medically necessary when all the following criteria are met</w:t>
      </w:r>
      <w:r>
        <w:rPr>
          <w:rFonts w:ascii="Arial" w:hAnsi="Arial" w:cs="Arial"/>
          <w:sz w:val="24"/>
          <w:szCs w:val="24"/>
        </w:rPr>
        <w:t>:</w:t>
      </w:r>
    </w:p>
    <w:p w14:paraId="73F4B795" w14:textId="77777777" w:rsidR="00A1036B" w:rsidRPr="00EE636B" w:rsidRDefault="00A1036B" w:rsidP="00A1036B">
      <w:pPr>
        <w:pStyle w:val="ListParagraph"/>
        <w:widowControl/>
        <w:numPr>
          <w:ilvl w:val="1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EE636B">
        <w:rPr>
          <w:rFonts w:ascii="Arial" w:hAnsi="Arial" w:cs="Arial"/>
          <w:color w:val="000000"/>
          <w:sz w:val="24"/>
          <w:szCs w:val="24"/>
        </w:rPr>
        <w:t xml:space="preserve">Prescribing is limited to a hematologist-oncologist. </w:t>
      </w:r>
    </w:p>
    <w:p w14:paraId="0E33D64E" w14:textId="77777777" w:rsidR="00A1036B" w:rsidRPr="00030526" w:rsidRDefault="00A1036B" w:rsidP="00A1036B">
      <w:pPr>
        <w:pStyle w:val="ListParagraph"/>
        <w:widowControl/>
        <w:numPr>
          <w:ilvl w:val="1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>Diagnosis of ALL or LBL</w:t>
      </w:r>
    </w:p>
    <w:p w14:paraId="75B11585" w14:textId="77777777" w:rsidR="00A1036B" w:rsidRPr="00030526" w:rsidRDefault="00A1036B" w:rsidP="00A1036B">
      <w:pPr>
        <w:pStyle w:val="ListParagraph"/>
        <w:widowControl/>
        <w:numPr>
          <w:ilvl w:val="1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</w:t>
      </w:r>
      <w:r w:rsidRPr="00030526">
        <w:rPr>
          <w:rFonts w:ascii="Arial" w:hAnsi="Arial" w:cs="Arial"/>
          <w:sz w:val="24"/>
          <w:szCs w:val="24"/>
        </w:rPr>
        <w:t>least 1 month of age</w:t>
      </w:r>
    </w:p>
    <w:p w14:paraId="25938F72" w14:textId="77777777" w:rsidR="00A1036B" w:rsidRPr="00030526" w:rsidRDefault="00A1036B" w:rsidP="00A1036B">
      <w:pPr>
        <w:pStyle w:val="ListParagraph"/>
        <w:widowControl/>
        <w:numPr>
          <w:ilvl w:val="1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lastRenderedPageBreak/>
        <w:t xml:space="preserve">Has hypersensitivity to </w:t>
      </w:r>
      <w:proofErr w:type="gramStart"/>
      <w:r w:rsidRPr="00030526">
        <w:rPr>
          <w:rFonts w:ascii="Arial" w:hAnsi="Arial" w:cs="Arial"/>
          <w:i/>
          <w:iCs/>
          <w:sz w:val="24"/>
          <w:szCs w:val="24"/>
        </w:rPr>
        <w:t>E.coli</w:t>
      </w:r>
      <w:proofErr w:type="gramEnd"/>
      <w:r w:rsidRPr="00030526">
        <w:rPr>
          <w:rFonts w:ascii="Arial" w:hAnsi="Arial" w:cs="Arial"/>
          <w:sz w:val="24"/>
          <w:szCs w:val="24"/>
        </w:rPr>
        <w:t xml:space="preserve">-derived asparaginase </w:t>
      </w:r>
      <w:r>
        <w:rPr>
          <w:rFonts w:ascii="Arial" w:hAnsi="Arial" w:cs="Arial"/>
          <w:sz w:val="24"/>
          <w:szCs w:val="24"/>
        </w:rPr>
        <w:t xml:space="preserve">product or </w:t>
      </w:r>
      <w:proofErr w:type="spellStart"/>
      <w:r w:rsidRPr="00030526">
        <w:rPr>
          <w:rFonts w:ascii="Arial" w:hAnsi="Arial" w:cs="Arial"/>
          <w:sz w:val="24"/>
          <w:szCs w:val="24"/>
        </w:rPr>
        <w:t>pegaspargase</w:t>
      </w:r>
      <w:proofErr w:type="spellEnd"/>
      <w:r w:rsidRPr="0003052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0526">
        <w:rPr>
          <w:rFonts w:ascii="Arial" w:hAnsi="Arial" w:cs="Arial"/>
          <w:sz w:val="24"/>
          <w:szCs w:val="24"/>
        </w:rPr>
        <w:t>Oncaspar</w:t>
      </w:r>
      <w:proofErr w:type="spellEnd"/>
      <w:r w:rsidRPr="00030526">
        <w:rPr>
          <w:rFonts w:ascii="Arial" w:hAnsi="Arial" w:cs="Arial"/>
          <w:sz w:val="24"/>
          <w:szCs w:val="24"/>
        </w:rPr>
        <w:t>®)</w:t>
      </w:r>
    </w:p>
    <w:p w14:paraId="28F2D345" w14:textId="77777777" w:rsidR="00A1036B" w:rsidRPr="00030526" w:rsidRDefault="00A1036B" w:rsidP="00A1036B">
      <w:pPr>
        <w:pStyle w:val="ListParagraph"/>
        <w:widowControl/>
        <w:numPr>
          <w:ilvl w:val="1"/>
          <w:numId w:val="2"/>
        </w:numPr>
        <w:autoSpaceDE/>
        <w:autoSpaceDN/>
        <w:rPr>
          <w:rFonts w:ascii="Arial" w:hAnsi="Arial" w:cs="Arial"/>
          <w:color w:val="000000" w:themeColor="text1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 xml:space="preserve">Has no contraindications/boxed warnings such as </w:t>
      </w:r>
    </w:p>
    <w:p w14:paraId="069FC327" w14:textId="77777777" w:rsidR="00A1036B" w:rsidRPr="00030526" w:rsidRDefault="00A1036B" w:rsidP="00A1036B">
      <w:pPr>
        <w:pStyle w:val="ListParagraph"/>
        <w:widowControl/>
        <w:numPr>
          <w:ilvl w:val="2"/>
          <w:numId w:val="2"/>
        </w:numPr>
        <w:autoSpaceDE/>
        <w:autoSpaceDN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0305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istory of serious hypersensitivity reactions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05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(including anaphylaxis) to asparaginase (</w:t>
      </w:r>
      <w:r w:rsidRPr="0003052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Erwinia</w:t>
      </w:r>
      <w:r w:rsidRPr="000305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 or any component of the</w:t>
      </w:r>
      <w:r w:rsidRPr="00030526">
        <w:rPr>
          <w:rFonts w:ascii="Noto Sans" w:hAnsi="Noto Sans" w:cs="Noto Sans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0305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formulation</w:t>
      </w:r>
    </w:p>
    <w:p w14:paraId="3A0E74C7" w14:textId="77777777" w:rsidR="00A1036B" w:rsidRPr="00030526" w:rsidRDefault="00A1036B" w:rsidP="00A1036B">
      <w:pPr>
        <w:pStyle w:val="ListParagraph"/>
        <w:widowControl/>
        <w:numPr>
          <w:ilvl w:val="2"/>
          <w:numId w:val="2"/>
        </w:numPr>
        <w:autoSpaceDE/>
        <w:autoSpaceDN/>
        <w:rPr>
          <w:rFonts w:ascii="Arial" w:hAnsi="Arial" w:cs="Arial"/>
          <w:color w:val="000000" w:themeColor="text1"/>
          <w:sz w:val="24"/>
          <w:szCs w:val="24"/>
        </w:rPr>
      </w:pPr>
      <w:r w:rsidRPr="000305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history of serious pancreatitis, serious thrombosis, or serious hemorrhagic events with prior asparaginase treatment </w:t>
      </w:r>
    </w:p>
    <w:p w14:paraId="57A2C651" w14:textId="77777777" w:rsidR="00A1036B" w:rsidRPr="00937E0A" w:rsidRDefault="00A1036B" w:rsidP="00A1036B">
      <w:pPr>
        <w:pStyle w:val="ListParagraph"/>
        <w:widowControl/>
        <w:numPr>
          <w:ilvl w:val="2"/>
          <w:numId w:val="2"/>
        </w:numPr>
        <w:autoSpaceDE/>
        <w:autoSpaceDN/>
        <w:rPr>
          <w:rFonts w:ascii="Arial" w:hAnsi="Arial" w:cs="Arial"/>
          <w:color w:val="000000" w:themeColor="text1"/>
          <w:sz w:val="24"/>
          <w:szCs w:val="24"/>
        </w:rPr>
      </w:pPr>
      <w:r w:rsidRPr="000305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severe hepatic impairment.</w:t>
      </w:r>
    </w:p>
    <w:p w14:paraId="1A9EEAF8" w14:textId="77777777" w:rsidR="00A1036B" w:rsidRPr="00937E0A" w:rsidRDefault="00A1036B" w:rsidP="00A1036B">
      <w:pPr>
        <w:pStyle w:val="ListParagraph"/>
        <w:widowControl/>
        <w:numPr>
          <w:ilvl w:val="1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937E0A">
        <w:rPr>
          <w:rFonts w:ascii="Arial" w:hAnsi="Arial" w:cs="Arial"/>
          <w:sz w:val="24"/>
          <w:szCs w:val="24"/>
        </w:rPr>
        <w:t xml:space="preserve">Member should be monitored according </w:t>
      </w:r>
      <w:r>
        <w:rPr>
          <w:rFonts w:ascii="Arial" w:hAnsi="Arial" w:cs="Arial"/>
          <w:sz w:val="24"/>
          <w:szCs w:val="24"/>
        </w:rPr>
        <w:t>per</w:t>
      </w:r>
      <w:r w:rsidRPr="00937E0A">
        <w:rPr>
          <w:rFonts w:ascii="Arial" w:hAnsi="Arial" w:cs="Arial"/>
          <w:sz w:val="24"/>
          <w:szCs w:val="24"/>
        </w:rPr>
        <w:t xml:space="preserve"> FDA-approved labeling and best practice</w:t>
      </w:r>
      <w:r>
        <w:rPr>
          <w:rFonts w:ascii="Arial" w:hAnsi="Arial" w:cs="Arial"/>
          <w:sz w:val="24"/>
          <w:szCs w:val="24"/>
        </w:rPr>
        <w:t>s</w:t>
      </w:r>
      <w:r w:rsidRPr="00937E0A">
        <w:rPr>
          <w:rFonts w:ascii="Arial" w:hAnsi="Arial" w:cs="Arial"/>
          <w:sz w:val="24"/>
          <w:szCs w:val="24"/>
        </w:rPr>
        <w:t>.</w:t>
      </w:r>
    </w:p>
    <w:p w14:paraId="5DA8E1E4" w14:textId="77777777" w:rsidR="00A1036B" w:rsidRPr="00030526" w:rsidRDefault="00A1036B" w:rsidP="00A1036B">
      <w:pPr>
        <w:widowControl/>
        <w:autoSpaceDE/>
        <w:autoSpaceDN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2EED1B4" w14:textId="77777777" w:rsidR="00A1036B" w:rsidRPr="00030526" w:rsidRDefault="00A1036B" w:rsidP="00A1036B">
      <w:pPr>
        <w:widowControl/>
        <w:autoSpaceDE/>
        <w:autoSpaceDN/>
        <w:ind w:left="360" w:firstLine="360"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 xml:space="preserve">B) </w:t>
      </w:r>
      <w:r w:rsidRPr="00030526">
        <w:rPr>
          <w:rFonts w:ascii="Arial" w:hAnsi="Arial" w:cs="Arial"/>
          <w:b/>
          <w:bCs/>
          <w:sz w:val="24"/>
          <w:szCs w:val="24"/>
        </w:rPr>
        <w:t>Approval duration</w:t>
      </w:r>
      <w:r w:rsidRPr="00EE636B">
        <w:rPr>
          <w:rFonts w:ascii="Arial" w:hAnsi="Arial" w:cs="Arial"/>
          <w:b/>
          <w:bCs/>
          <w:sz w:val="24"/>
          <w:szCs w:val="24"/>
        </w:rPr>
        <w:t>:</w:t>
      </w:r>
      <w:r w:rsidRPr="00030526">
        <w:rPr>
          <w:rFonts w:ascii="Arial" w:hAnsi="Arial" w:cs="Arial"/>
          <w:sz w:val="24"/>
          <w:szCs w:val="24"/>
        </w:rPr>
        <w:t xml:space="preserve"> maximum of 6 months</w:t>
      </w:r>
    </w:p>
    <w:p w14:paraId="0EEFB31F" w14:textId="77777777" w:rsidR="00A1036B" w:rsidRDefault="00A1036B" w:rsidP="00A1036B">
      <w:pPr>
        <w:widowControl/>
        <w:autoSpaceDE/>
        <w:autoSpaceDN/>
        <w:ind w:left="360" w:firstLine="360"/>
        <w:rPr>
          <w:sz w:val="24"/>
          <w:szCs w:val="24"/>
        </w:rPr>
      </w:pPr>
    </w:p>
    <w:p w14:paraId="1CB75FBD" w14:textId="77777777" w:rsidR="00A1036B" w:rsidRPr="00D66C49" w:rsidRDefault="00A1036B" w:rsidP="00A1036B">
      <w:pPr>
        <w:pStyle w:val="ListParagraph"/>
        <w:widowControl/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II. A) </w:t>
      </w:r>
      <w:r w:rsidRPr="00030526">
        <w:rPr>
          <w:rFonts w:ascii="Arial" w:hAnsi="Arial" w:cs="Arial"/>
          <w:b/>
          <w:bCs/>
          <w:sz w:val="24"/>
          <w:szCs w:val="24"/>
        </w:rPr>
        <w:t>Continued Therapy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D66C49">
        <w:rPr>
          <w:rFonts w:ascii="Arial" w:hAnsi="Arial" w:cs="Arial"/>
        </w:rPr>
        <w:t xml:space="preserve"> </w:t>
      </w:r>
      <w:proofErr w:type="spellStart"/>
      <w:r w:rsidRPr="008D5236">
        <w:rPr>
          <w:rFonts w:ascii="Arial" w:hAnsi="Arial" w:cs="Arial"/>
          <w:sz w:val="24"/>
          <w:szCs w:val="24"/>
        </w:rPr>
        <w:t>Rylaze</w:t>
      </w:r>
      <w:proofErr w:type="spellEnd"/>
      <w:r w:rsidRPr="008D5236">
        <w:rPr>
          <w:rFonts w:ascii="Arial" w:hAnsi="Arial" w:cs="Arial"/>
          <w:sz w:val="24"/>
          <w:szCs w:val="24"/>
        </w:rPr>
        <w:t xml:space="preserve"> will be considered as medically necessary when all the following criteria are met</w:t>
      </w:r>
      <w:r>
        <w:rPr>
          <w:rFonts w:ascii="Arial" w:hAnsi="Arial" w:cs="Arial"/>
          <w:sz w:val="24"/>
          <w:szCs w:val="24"/>
        </w:rPr>
        <w:t>:</w:t>
      </w:r>
    </w:p>
    <w:p w14:paraId="41E0A755" w14:textId="77777777" w:rsidR="00A1036B" w:rsidRPr="00030526" w:rsidRDefault="00A1036B" w:rsidP="00A1036B">
      <w:pPr>
        <w:pStyle w:val="ListParagraph"/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>All indications from section I</w:t>
      </w:r>
    </w:p>
    <w:p w14:paraId="62804144" w14:textId="77777777" w:rsidR="00A1036B" w:rsidRDefault="00A1036B" w:rsidP="00A1036B">
      <w:pPr>
        <w:pStyle w:val="ListParagraph"/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 xml:space="preserve">Has shown improvement from </w:t>
      </w:r>
      <w:proofErr w:type="gramStart"/>
      <w:r w:rsidRPr="00030526">
        <w:rPr>
          <w:rFonts w:ascii="Arial" w:hAnsi="Arial" w:cs="Arial"/>
          <w:sz w:val="24"/>
          <w:szCs w:val="24"/>
        </w:rPr>
        <w:t>therapy</w:t>
      </w:r>
      <w:proofErr w:type="gramEnd"/>
    </w:p>
    <w:p w14:paraId="6D54C24A" w14:textId="77777777" w:rsidR="00A1036B" w:rsidRPr="00937E0A" w:rsidRDefault="00A1036B" w:rsidP="00A1036B">
      <w:pPr>
        <w:pStyle w:val="ListParagraph"/>
        <w:widowControl/>
        <w:numPr>
          <w:ilvl w:val="0"/>
          <w:numId w:val="3"/>
        </w:num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should be monitored per FDA-approved labeling and best practices.</w:t>
      </w:r>
    </w:p>
    <w:p w14:paraId="67AE82FF" w14:textId="77777777" w:rsidR="00A1036B" w:rsidRPr="00030526" w:rsidRDefault="00A1036B" w:rsidP="00A1036B">
      <w:pPr>
        <w:widowControl/>
        <w:autoSpaceDE/>
        <w:autoSpaceDN/>
        <w:rPr>
          <w:rFonts w:ascii="Arial" w:hAnsi="Arial" w:cs="Arial"/>
          <w:sz w:val="24"/>
          <w:szCs w:val="24"/>
        </w:rPr>
      </w:pPr>
    </w:p>
    <w:p w14:paraId="2CE4630E" w14:textId="77777777" w:rsidR="00A1036B" w:rsidRPr="00030526" w:rsidRDefault="00A1036B" w:rsidP="00A1036B">
      <w:pPr>
        <w:widowControl/>
        <w:autoSpaceDE/>
        <w:autoSpaceDN/>
        <w:ind w:left="720"/>
        <w:rPr>
          <w:rFonts w:ascii="Arial" w:hAnsi="Arial" w:cs="Arial"/>
          <w:sz w:val="24"/>
          <w:szCs w:val="24"/>
        </w:rPr>
      </w:pPr>
      <w:r w:rsidRPr="00030526">
        <w:rPr>
          <w:rFonts w:ascii="Arial" w:hAnsi="Arial" w:cs="Arial"/>
          <w:sz w:val="24"/>
          <w:szCs w:val="24"/>
        </w:rPr>
        <w:t xml:space="preserve">B) </w:t>
      </w:r>
      <w:r w:rsidRPr="00030526">
        <w:rPr>
          <w:rFonts w:ascii="Arial" w:hAnsi="Arial" w:cs="Arial"/>
          <w:b/>
          <w:bCs/>
          <w:sz w:val="24"/>
          <w:szCs w:val="24"/>
        </w:rPr>
        <w:t>Approval duration</w:t>
      </w:r>
      <w:r w:rsidRPr="00EE636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30526">
        <w:rPr>
          <w:rFonts w:ascii="Arial" w:hAnsi="Arial" w:cs="Arial"/>
          <w:sz w:val="24"/>
          <w:szCs w:val="24"/>
        </w:rPr>
        <w:t>maximum of 6 months</w:t>
      </w:r>
    </w:p>
    <w:p w14:paraId="50B8D193" w14:textId="77777777" w:rsidR="00A1036B" w:rsidRDefault="00A1036B" w:rsidP="00A1036B">
      <w:pPr>
        <w:pStyle w:val="ListParagraph"/>
        <w:widowControl/>
        <w:autoSpaceDE/>
        <w:autoSpaceDN/>
        <w:ind w:left="360" w:firstLine="0"/>
        <w:rPr>
          <w:sz w:val="24"/>
          <w:szCs w:val="24"/>
        </w:rPr>
      </w:pPr>
    </w:p>
    <w:p w14:paraId="5D4CC4CD" w14:textId="77777777" w:rsidR="00A1036B" w:rsidRDefault="00A1036B" w:rsidP="00A1036B">
      <w:pPr>
        <w:pStyle w:val="ListParagraph"/>
        <w:widowControl/>
        <w:autoSpaceDE/>
        <w:autoSpaceDN/>
        <w:ind w:left="360" w:firstLine="0"/>
        <w:rPr>
          <w:sz w:val="24"/>
          <w:szCs w:val="24"/>
        </w:rPr>
      </w:pPr>
    </w:p>
    <w:p w14:paraId="6526C27D" w14:textId="77777777" w:rsidR="00A1036B" w:rsidRPr="0025212E" w:rsidRDefault="00A1036B" w:rsidP="00A1036B">
      <w:pPr>
        <w:pStyle w:val="ListParagraph"/>
        <w:widowControl/>
        <w:autoSpaceDE/>
        <w:autoSpaceDN/>
        <w:ind w:left="360" w:firstLine="0"/>
        <w:rPr>
          <w:sz w:val="24"/>
          <w:szCs w:val="24"/>
        </w:rPr>
      </w:pPr>
    </w:p>
    <w:p w14:paraId="1B002355" w14:textId="77777777" w:rsidR="00A1036B" w:rsidRDefault="00A1036B" w:rsidP="00A1036B">
      <w:pPr>
        <w:autoSpaceDE/>
        <w:autoSpaceDN/>
        <w:spacing w:after="20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REGULATORY </w:t>
      </w:r>
      <w:r w:rsidRPr="00292811">
        <w:rPr>
          <w:rFonts w:ascii="Arial" w:eastAsia="Calibri" w:hAnsi="Arial" w:cs="Arial"/>
          <w:b/>
          <w:sz w:val="24"/>
          <w:szCs w:val="24"/>
          <w:u w:val="single"/>
        </w:rPr>
        <w:t>REFERENCES:</w:t>
      </w:r>
    </w:p>
    <w:p w14:paraId="6F583943" w14:textId="77777777" w:rsidR="00A1036B" w:rsidRPr="00017086" w:rsidRDefault="00A1036B" w:rsidP="00A1036B">
      <w:pPr>
        <w:autoSpaceDE/>
        <w:autoSpaceDN/>
        <w:spacing w:after="200"/>
        <w:rPr>
          <w:rFonts w:ascii="Arial" w:hAnsi="Arial" w:cs="Arial"/>
          <w:color w:val="232323"/>
          <w:sz w:val="24"/>
          <w:szCs w:val="24"/>
          <w:shd w:val="clear" w:color="auto" w:fill="F6F6F6"/>
        </w:rPr>
      </w:pPr>
      <w:r w:rsidRPr="00017086">
        <w:rPr>
          <w:rFonts w:ascii="Arial" w:eastAsia="Calibri" w:hAnsi="Arial" w:cs="Arial"/>
          <w:bCs/>
          <w:sz w:val="24"/>
          <w:szCs w:val="24"/>
        </w:rPr>
        <w:t>Centene Corporation: Clinical policy:</w:t>
      </w:r>
      <w:r w:rsidRPr="00030526">
        <w:rPr>
          <w:rFonts w:ascii="Arial" w:hAnsi="Arial" w:cs="Arial"/>
          <w:color w:val="232323"/>
          <w:sz w:val="24"/>
          <w:szCs w:val="24"/>
          <w:shd w:val="clear" w:color="auto" w:fill="F6F6F6"/>
        </w:rPr>
        <w:t xml:space="preserve"> Erwinia asparaginase (</w:t>
      </w:r>
      <w:proofErr w:type="spellStart"/>
      <w:r w:rsidRPr="00030526">
        <w:rPr>
          <w:rFonts w:ascii="Arial" w:hAnsi="Arial" w:cs="Arial"/>
          <w:color w:val="232323"/>
          <w:sz w:val="24"/>
          <w:szCs w:val="24"/>
          <w:shd w:val="clear" w:color="auto" w:fill="F6F6F6"/>
        </w:rPr>
        <w:t>Erwinaze</w:t>
      </w:r>
      <w:proofErr w:type="spellEnd"/>
      <w:r w:rsidRPr="00030526">
        <w:rPr>
          <w:rFonts w:ascii="Arial" w:hAnsi="Arial" w:cs="Arial"/>
          <w:color w:val="232323"/>
          <w:sz w:val="24"/>
          <w:szCs w:val="24"/>
          <w:shd w:val="clear" w:color="auto" w:fill="F6F6F6"/>
        </w:rPr>
        <w:t xml:space="preserve">, </w:t>
      </w:r>
      <w:proofErr w:type="spellStart"/>
      <w:r w:rsidRPr="00030526">
        <w:rPr>
          <w:rFonts w:ascii="Arial" w:hAnsi="Arial" w:cs="Arial"/>
          <w:color w:val="232323"/>
          <w:sz w:val="24"/>
          <w:szCs w:val="24"/>
          <w:shd w:val="clear" w:color="auto" w:fill="F6F6F6"/>
        </w:rPr>
        <w:t>Rylaze</w:t>
      </w:r>
      <w:proofErr w:type="spellEnd"/>
      <w:r w:rsidRPr="00030526">
        <w:rPr>
          <w:rFonts w:ascii="Arial" w:hAnsi="Arial" w:cs="Arial"/>
          <w:color w:val="232323"/>
          <w:sz w:val="24"/>
          <w:szCs w:val="24"/>
          <w:shd w:val="clear" w:color="auto" w:fill="F6F6F6"/>
        </w:rPr>
        <w:t>). https://ambetter.pshpgeorgia.com/content/dam/centene/policies/pharmacy-policies/CP.PHAR.301.pdf</w:t>
      </w:r>
    </w:p>
    <w:p w14:paraId="2699A0D3" w14:textId="77777777" w:rsidR="00A1036B" w:rsidRDefault="00A1036B" w:rsidP="00A1036B">
      <w:pPr>
        <w:autoSpaceDE/>
        <w:autoSpaceDN/>
        <w:spacing w:after="200"/>
        <w:rPr>
          <w:rFonts w:ascii="Arial" w:hAnsi="Arial" w:cs="Arial"/>
          <w:color w:val="232323"/>
          <w:sz w:val="24"/>
          <w:szCs w:val="24"/>
          <w:shd w:val="clear" w:color="auto" w:fill="F6F6F6"/>
        </w:rPr>
      </w:pPr>
      <w:r w:rsidRPr="00030526">
        <w:rPr>
          <w:rFonts w:ascii="Arial" w:eastAsia="Calibri" w:hAnsi="Arial" w:cs="Arial"/>
          <w:bCs/>
          <w:sz w:val="24"/>
          <w:szCs w:val="24"/>
        </w:rPr>
        <w:t>Lexicomp (2024)</w:t>
      </w:r>
      <w:r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030526">
        <w:rPr>
          <w:rFonts w:ascii="Arial" w:hAnsi="Arial" w:cs="Arial"/>
          <w:color w:val="232323"/>
          <w:sz w:val="24"/>
          <w:szCs w:val="24"/>
          <w:shd w:val="clear" w:color="auto" w:fill="F6F6F6"/>
        </w:rPr>
        <w:t xml:space="preserve">Recombinant Erwinia asparaginase: Drug information. </w:t>
      </w:r>
      <w:r w:rsidRPr="00030526">
        <w:rPr>
          <w:rFonts w:ascii="Arial" w:hAnsi="Arial" w:cs="Arial"/>
          <w:i/>
          <w:iCs/>
          <w:color w:val="232323"/>
          <w:sz w:val="24"/>
          <w:szCs w:val="24"/>
          <w:shd w:val="clear" w:color="auto" w:fill="F6F6F6"/>
        </w:rPr>
        <w:t>UpToDate</w:t>
      </w:r>
      <w:r w:rsidRPr="00030526">
        <w:rPr>
          <w:rFonts w:ascii="Arial" w:hAnsi="Arial" w:cs="Arial"/>
          <w:color w:val="232323"/>
          <w:sz w:val="24"/>
          <w:szCs w:val="24"/>
          <w:shd w:val="clear" w:color="auto" w:fill="F6F6F6"/>
        </w:rPr>
        <w:t>. Retrieved May 1, 2024.</w:t>
      </w:r>
    </w:p>
    <w:p w14:paraId="6EBB7E44" w14:textId="77777777" w:rsidR="00A1036B" w:rsidRPr="00030526" w:rsidRDefault="00A1036B" w:rsidP="00A1036B">
      <w:pPr>
        <w:autoSpaceDE/>
        <w:autoSpaceDN/>
        <w:spacing w:after="200"/>
        <w:rPr>
          <w:rFonts w:ascii="Arial" w:hAnsi="Arial" w:cs="Arial"/>
          <w:color w:val="232323"/>
          <w:sz w:val="24"/>
          <w:szCs w:val="24"/>
          <w:shd w:val="clear" w:color="auto" w:fill="F6F6F6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6F6F6"/>
        </w:rPr>
        <w:t>U.S. Food and Drug Administration,</w:t>
      </w:r>
      <w:r>
        <w:rPr>
          <w:rFonts w:ascii="Aptos" w:hAnsi="Aptos"/>
          <w:color w:val="000000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ptos" w:hAnsi="Aptos"/>
            <w:sz w:val="24"/>
            <w:szCs w:val="24"/>
          </w:rPr>
          <w:t>https://nctr-crs.fda.gov/fdalabel/services/spl/set-ids/857e53aa-1098-4dad-b654-0276cdd43e03/spl-doc?hl=Rylaze</w:t>
        </w:r>
      </w:hyperlink>
    </w:p>
    <w:p w14:paraId="56539786" w14:textId="77777777" w:rsidR="00A1036B" w:rsidRDefault="00A1036B"/>
    <w:sectPr w:rsidR="00A1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5052"/>
    <w:multiLevelType w:val="hybridMultilevel"/>
    <w:tmpl w:val="8BBAC12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777E"/>
    <w:multiLevelType w:val="hybridMultilevel"/>
    <w:tmpl w:val="2AD80B62"/>
    <w:lvl w:ilvl="0" w:tplc="902686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F056A7"/>
    <w:multiLevelType w:val="multilevel"/>
    <w:tmpl w:val="B67AD6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703020657">
    <w:abstractNumId w:val="2"/>
  </w:num>
  <w:num w:numId="2" w16cid:durableId="612176047">
    <w:abstractNumId w:val="0"/>
  </w:num>
  <w:num w:numId="3" w16cid:durableId="128924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6B"/>
    <w:rsid w:val="008D4BBA"/>
    <w:rsid w:val="008E14BA"/>
    <w:rsid w:val="00A1036B"/>
    <w:rsid w:val="00AF2AA1"/>
    <w:rsid w:val="00F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85B5"/>
  <w15:chartTrackingRefBased/>
  <w15:docId w15:val="{CF4B382F-8EEB-43F9-8F65-C366E714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6B"/>
    <w:pPr>
      <w:ind w:left="2126" w:hanging="360"/>
      <w:jc w:val="both"/>
    </w:pPr>
  </w:style>
  <w:style w:type="character" w:styleId="Hyperlink">
    <w:name w:val="Hyperlink"/>
    <w:rsid w:val="00A10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tr-crs.fda.gov/fdalabel/services/spl/set-ids/857e53aa-1098-4dad-b654-0276cdd43e03/spl-doc?hl=Rylaz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Payal Parekh</dc:creator>
  <cp:keywords/>
  <dc:description/>
  <cp:lastModifiedBy>Payal Parekh</cp:lastModifiedBy>
  <cp:revision>3</cp:revision>
  <dcterms:created xsi:type="dcterms:W3CDTF">2024-08-09T17:27:00Z</dcterms:created>
  <dcterms:modified xsi:type="dcterms:W3CDTF">2024-09-05T19:17:00Z</dcterms:modified>
</cp:coreProperties>
</file>